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Приклад, не стандарт: нотатка SOAP</w:t>
      </w:r>
    </w:p>
    <w:p>
      <w:pPr>
        <w:jc w:val="left"/>
      </w:pPr>
      <w:r>
        <w:t xml:space="preserve">Клієнтка і сесія вигадані. Зразок показує, як може виглядати заповнена нотатка, і не є клінічним еталоном.</w:t>
      </w:r>
    </w:p>
    <w:p>
      <w:pPr>
        <w:jc w:val="left"/>
      </w:pPr>
      <w:r>
        <w:t xml:space="preserve">Клієнтка: Анна Фрейд   Фахівець: Карл Юнг   Сесія № 4</w:t>
      </w:r>
    </w:p>
    <w:p>
      <w:pPr>
        <w:pStyle w:val="Heading2"/>
      </w:pPr>
      <w:r>
        <w:t xml:space="preserve">Суб’єктивне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Три тижні відкладає розмову з керівником про навантаження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«Щовечора прокручую цю розмову і не можу заснути»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У будні засинає після першої години ночі, у вихідні спить нормально</w:t>
      </w:r>
    </w:p>
    <w:p>
      <w:pPr>
        <w:pStyle w:val="Heading2"/>
      </w:pPr>
      <w:r>
        <w:t xml:space="preserve">Об’єктивне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Говорить швидко, коли йдеться про роботу, і сповільнюється, коли розповідає про вихідні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Двічі змінила тему, коли розмова торкнулася сестри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Залучена, сама пропонує варіанти</w:t>
      </w:r>
    </w:p>
    <w:p>
      <w:pPr>
        <w:pStyle w:val="Heading2"/>
      </w:pPr>
      <w:r>
        <w:t xml:space="preserve">Оцінка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Уникнення складної розмови підтримує тривогу і заважає сну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Можливий зв’язок із сімейним досвідом (сестра), поки що лише гіпотеза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Порівняно з минулою сесією легше називає, чого боїться</w:t>
      </w:r>
    </w:p>
    <w:p>
      <w:pPr>
        <w:pStyle w:val="Heading2"/>
      </w:pPr>
      <w:r>
        <w:t xml:space="preserve">План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До наступної зустрічі відзначати вечори, коли не вдається заснути, і про що були думки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Наступна сесія: підготовка до розмови з керівником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Повернутися до теми сестри, якщо Анна буде готова</w:t>
      </w:r>
    </w:p>
    <w:p>
      <w:pPr>
        <w:pStyle w:val="Heading2"/>
      </w:pPr>
      <w:r>
        <w:t xml:space="preserve">Що додалося у формулювання 5П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Підтримувальні фактори: уникнення складних розмов, вечірня румінація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Захисні фактори: рефлексивність, стабільна робота, готовність пробувати нове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E2420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rFonts w:ascii="Georgia" w:cs="Georgia" w:eastAsia="Georgia" w:hAnsi="Georgia"/>
      <w:b/>
      <w:bCs/>
      <w:color w:val="1E2420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80" w:before="280"/>
    </w:pPr>
    <w:rPr>
      <w:rFonts w:ascii="Georgia" w:cs="Georgia" w:eastAsia="Georgia" w:hAnsi="Georgia"/>
      <w:b/>
      <w:bCs/>
      <w:color w:val="56735E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2026-09-27T22:59:49.305Z</dcterms:created>
  <dcterms:modified xsi:type="dcterms:W3CDTF">2026-09-27T22:59:49.305Z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